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B" w:rsidRPr="00056CC3" w:rsidRDefault="00A531EB" w:rsidP="00A531EB">
      <w:pPr>
        <w:ind w:left="2835"/>
        <w:rPr>
          <w:b/>
          <w:bCs/>
          <w:color w:val="auto"/>
          <w:sz w:val="22"/>
          <w:szCs w:val="22"/>
        </w:rPr>
      </w:pPr>
      <w:r w:rsidRPr="00056CC3">
        <w:rPr>
          <w:b/>
          <w:color w:val="auto"/>
          <w:sz w:val="22"/>
          <w:szCs w:val="22"/>
        </w:rPr>
        <w:t xml:space="preserve">RECURSO. </w:t>
      </w:r>
      <w:r w:rsidR="00722108" w:rsidRPr="00056CC3">
        <w:rPr>
          <w:b/>
          <w:color w:val="auto"/>
          <w:sz w:val="22"/>
          <w:szCs w:val="22"/>
        </w:rPr>
        <w:t>AUDITORIA EM CONSELHOS ESTADUAIS DE POLÍTICAS PÚBLICAS.</w:t>
      </w:r>
      <w:r w:rsidR="00056CC3" w:rsidRPr="00056CC3">
        <w:rPr>
          <w:b/>
          <w:color w:val="auto"/>
          <w:sz w:val="22"/>
          <w:szCs w:val="22"/>
        </w:rPr>
        <w:t xml:space="preserve"> DE MÚLTIPLOS</w:t>
      </w:r>
      <w:r w:rsidR="00056CC3">
        <w:rPr>
          <w:b/>
          <w:color w:val="auto"/>
          <w:sz w:val="22"/>
          <w:szCs w:val="22"/>
        </w:rPr>
        <w:t xml:space="preserve"> PEDIDOS DE INFORMAÇÕES FORMULADOS </w:t>
      </w:r>
      <w:r w:rsidR="00056CC3" w:rsidRPr="00056CC3">
        <w:rPr>
          <w:b/>
          <w:color w:val="auto"/>
          <w:sz w:val="22"/>
          <w:szCs w:val="22"/>
        </w:rPr>
        <w:t xml:space="preserve">PELO CIDADÃO, FOI NEGADO ACESSO </w:t>
      </w:r>
      <w:r w:rsidR="00056CC3">
        <w:rPr>
          <w:b/>
          <w:color w:val="auto"/>
          <w:sz w:val="22"/>
          <w:szCs w:val="22"/>
        </w:rPr>
        <w:t xml:space="preserve">APENAS </w:t>
      </w:r>
      <w:r w:rsidR="00056CC3" w:rsidRPr="00056CC3">
        <w:rPr>
          <w:b/>
          <w:color w:val="auto"/>
          <w:sz w:val="22"/>
          <w:szCs w:val="22"/>
        </w:rPr>
        <w:t xml:space="preserve">AOS PAPÉIS DE </w:t>
      </w:r>
      <w:r w:rsidR="00056CC3">
        <w:rPr>
          <w:b/>
          <w:color w:val="auto"/>
          <w:sz w:val="22"/>
          <w:szCs w:val="22"/>
        </w:rPr>
        <w:t xml:space="preserve">TRABALHO DA </w:t>
      </w:r>
      <w:r w:rsidR="00056CC3" w:rsidRPr="00056CC3">
        <w:rPr>
          <w:b/>
          <w:color w:val="auto"/>
          <w:sz w:val="22"/>
          <w:szCs w:val="22"/>
        </w:rPr>
        <w:t>AUDITORIA COM FUNDAMENTO NO §</w:t>
      </w:r>
      <w:r w:rsidR="00B36B31">
        <w:rPr>
          <w:b/>
          <w:color w:val="auto"/>
          <w:sz w:val="22"/>
          <w:szCs w:val="22"/>
        </w:rPr>
        <w:t xml:space="preserve"> </w:t>
      </w:r>
      <w:r w:rsidR="00056CC3" w:rsidRPr="00056CC3">
        <w:rPr>
          <w:b/>
          <w:color w:val="auto"/>
          <w:sz w:val="22"/>
          <w:szCs w:val="22"/>
        </w:rPr>
        <w:t>4º DO ART. 6º DA PORTARIA CAGE Nº 024/2013, DEVIDAMENTE AMPARADA</w:t>
      </w:r>
      <w:r w:rsidR="00056CC3">
        <w:rPr>
          <w:b/>
          <w:color w:val="auto"/>
          <w:sz w:val="22"/>
          <w:szCs w:val="22"/>
        </w:rPr>
        <w:t xml:space="preserve"> </w:t>
      </w:r>
      <w:r w:rsidR="00056CC3" w:rsidRPr="00056CC3">
        <w:rPr>
          <w:b/>
          <w:color w:val="auto"/>
          <w:sz w:val="22"/>
          <w:szCs w:val="22"/>
        </w:rPr>
        <w:t xml:space="preserve">NO ITEM 13 DA NBC T11 - IT – 02, QUE DETERMINA O DEVER PERMANENTE DO AUDITOR QUANTO À CONFIDENCIALIDADE. </w:t>
      </w:r>
      <w:r w:rsidR="003751A4">
        <w:rPr>
          <w:b/>
          <w:color w:val="auto"/>
          <w:sz w:val="22"/>
          <w:szCs w:val="22"/>
        </w:rPr>
        <w:t xml:space="preserve">HIPÓTESE ENQUADRADA COMO SIGILO PROFISSIONAL, RESGUARDADO PELO ART. 10, INCISO III, DO DECRETO ESTADUAL Nº 49.111/2012. </w:t>
      </w:r>
      <w:r w:rsidR="00056CC3" w:rsidRPr="00056CC3">
        <w:rPr>
          <w:b/>
          <w:color w:val="auto"/>
          <w:sz w:val="22"/>
          <w:szCs w:val="22"/>
        </w:rPr>
        <w:t>NEGADO PROVI</w:t>
      </w:r>
      <w:r w:rsidR="003751A4">
        <w:rPr>
          <w:b/>
          <w:color w:val="auto"/>
          <w:sz w:val="22"/>
          <w:szCs w:val="22"/>
        </w:rPr>
        <w:t>MENTO AO RECURSO</w:t>
      </w:r>
      <w:r w:rsidR="00056CC3" w:rsidRPr="00056CC3">
        <w:rPr>
          <w:b/>
          <w:color w:val="auto"/>
          <w:sz w:val="22"/>
          <w:szCs w:val="22"/>
        </w:rPr>
        <w:t xml:space="preserve">. </w:t>
      </w:r>
    </w:p>
    <w:p w:rsidR="00A531EB" w:rsidRDefault="00A531EB" w:rsidP="00A531EB"/>
    <w:p w:rsidR="00056CC3" w:rsidRDefault="00056CC3" w:rsidP="00A531EB"/>
    <w:p w:rsidR="00056CC3" w:rsidRDefault="00056CC3" w:rsidP="00A531EB"/>
    <w:p w:rsidR="00056CC3" w:rsidRDefault="00056CC3" w:rsidP="00A531EB">
      <w:r>
        <w:t>RECURSO</w:t>
      </w:r>
    </w:p>
    <w:p w:rsidR="00056CC3" w:rsidRDefault="00056CC3" w:rsidP="00A531EB"/>
    <w:p w:rsidR="00056CC3" w:rsidRDefault="00056CC3" w:rsidP="00A531EB"/>
    <w:p w:rsidR="00056CC3" w:rsidRDefault="00056CC3" w:rsidP="00A531EB">
      <w:r>
        <w:t>DEMANDA Nº 19.189                                                                     SEFAZ/CAGE</w:t>
      </w:r>
    </w:p>
    <w:p w:rsidR="00056CC3" w:rsidRDefault="00056CC3" w:rsidP="00A531EB"/>
    <w:p w:rsidR="00056CC3" w:rsidRDefault="00056CC3" w:rsidP="00A531EB"/>
    <w:p w:rsidR="00056CC3" w:rsidRDefault="00056CC3" w:rsidP="00A531EB">
      <w:r>
        <w:t>BRUNO SCHIMITT MORASSUTTI                                              RECORRENTE</w:t>
      </w:r>
    </w:p>
    <w:p w:rsidR="00056CC3" w:rsidRDefault="00056CC3" w:rsidP="00A531EB"/>
    <w:p w:rsidR="00056CC3" w:rsidRDefault="00056CC3" w:rsidP="00A531EB"/>
    <w:p w:rsidR="00A531EB" w:rsidRDefault="00A531EB" w:rsidP="00A531EB"/>
    <w:p w:rsidR="00A531EB" w:rsidRPr="00830390" w:rsidRDefault="00A531EB" w:rsidP="00A531EB">
      <w:pPr>
        <w:pStyle w:val="TtuloPrincipal"/>
      </w:pPr>
      <w:r>
        <w:t>DECISÃO</w:t>
      </w:r>
    </w:p>
    <w:p w:rsidR="00A531EB" w:rsidRDefault="00A531EB" w:rsidP="00A531EB">
      <w:pPr>
        <w:pStyle w:val="PargrafoNormal"/>
        <w:spacing w:after="0"/>
      </w:pPr>
      <w:r>
        <w:t>Vista, relatada e discutida a demanda.</w:t>
      </w:r>
    </w:p>
    <w:p w:rsidR="00056CC3" w:rsidRDefault="00A531EB" w:rsidP="00056CC3">
      <w:pPr>
        <w:pStyle w:val="PargrafoNormal"/>
        <w:spacing w:after="0"/>
      </w:pPr>
      <w:r>
        <w:t xml:space="preserve">Acordam </w:t>
      </w:r>
      <w:r w:rsidRPr="00830390">
        <w:t xml:space="preserve">os </w:t>
      </w:r>
      <w:r>
        <w:t>integrantes da Comissão Mista de Reavaliação de Informações – CMRI/RS, por unanimidade</w:t>
      </w:r>
      <w:r w:rsidRPr="00A167CD">
        <w:t>,</w:t>
      </w:r>
      <w:r>
        <w:rPr>
          <w:color w:val="0000FF"/>
        </w:rPr>
        <w:t xml:space="preserve"> </w:t>
      </w:r>
      <w:r w:rsidRPr="00035B2A">
        <w:t xml:space="preserve">em </w:t>
      </w:r>
      <w:r w:rsidR="005C11F8">
        <w:t>negar provimento ao recurso</w:t>
      </w:r>
      <w:r w:rsidRPr="00035B2A">
        <w:t>.</w:t>
      </w:r>
    </w:p>
    <w:p w:rsidR="00056CC3" w:rsidRDefault="00056CC3" w:rsidP="00056CC3">
      <w:pPr>
        <w:pStyle w:val="PargrafoNormal"/>
        <w:spacing w:after="0"/>
      </w:pPr>
      <w:r w:rsidRPr="00136E37">
        <w:t>Participaram do julgamento, além do signatário, os representantes da Procuradoria-Geral do Estado, da Subchefia de Ética, Controle Público e Transparência da Secretaria da Casa Civil/RS, da Secretaria de Planejamento, Governança e Gestão, da Secretaria da</w:t>
      </w:r>
      <w:r w:rsidR="003E096E">
        <w:t xml:space="preserve"> Segurança Pública</w:t>
      </w:r>
      <w:r w:rsidRPr="00136E37">
        <w:t>, da Secretaria de Modernização Administrativa e dos Recursos Humanos/Arquivo Público do Estado e da Secretaria da Saúde.</w:t>
      </w:r>
    </w:p>
    <w:p w:rsidR="003E096E" w:rsidRDefault="003E096E" w:rsidP="00056CC3">
      <w:pPr>
        <w:pStyle w:val="PargrafoNormal"/>
        <w:spacing w:after="0"/>
      </w:pPr>
    </w:p>
    <w:p w:rsidR="003E096E" w:rsidRPr="00B36B31" w:rsidRDefault="00B36B31" w:rsidP="00056CC3">
      <w:pPr>
        <w:pStyle w:val="PargrafoNormal"/>
        <w:spacing w:after="0"/>
        <w:rPr>
          <w:color w:val="000000" w:themeColor="text1"/>
        </w:rPr>
      </w:pPr>
      <w:r w:rsidRPr="00B36B31">
        <w:rPr>
          <w:color w:val="000000" w:themeColor="text1"/>
        </w:rPr>
        <w:t xml:space="preserve">Impedido, nos termos do art. 14, inciso I, do Decreto Estadual nº 51.111/2014, o </w:t>
      </w:r>
      <w:r w:rsidR="003E096E" w:rsidRPr="00B36B31">
        <w:rPr>
          <w:color w:val="000000" w:themeColor="text1"/>
        </w:rPr>
        <w:t>membro representante da Secretaria da Fazenda/CAGE</w:t>
      </w:r>
      <w:r w:rsidR="00335BC1" w:rsidRPr="00B36B31">
        <w:rPr>
          <w:color w:val="000000" w:themeColor="text1"/>
        </w:rPr>
        <w:t>.</w:t>
      </w:r>
    </w:p>
    <w:p w:rsidR="00056CC3" w:rsidRDefault="00056CC3" w:rsidP="00335BC1">
      <w:pPr>
        <w:pStyle w:val="PargrafoNormal"/>
        <w:spacing w:after="0" w:line="240" w:lineRule="auto"/>
        <w:ind w:firstLine="0"/>
      </w:pPr>
    </w:p>
    <w:p w:rsidR="00335BC1" w:rsidRDefault="00335BC1" w:rsidP="00335BC1">
      <w:pPr>
        <w:pStyle w:val="PargrafoNormal"/>
        <w:spacing w:after="0" w:line="240" w:lineRule="auto"/>
        <w:ind w:firstLine="0"/>
      </w:pPr>
    </w:p>
    <w:p w:rsidR="00A531EB" w:rsidRPr="00830390" w:rsidRDefault="00A531EB" w:rsidP="004213EA">
      <w:pPr>
        <w:pStyle w:val="PargrafoNormal"/>
        <w:spacing w:after="0" w:line="240" w:lineRule="auto"/>
        <w:ind w:firstLine="0"/>
        <w:jc w:val="center"/>
      </w:pPr>
      <w:r>
        <w:t xml:space="preserve">Porto Alegre, </w:t>
      </w:r>
      <w:r w:rsidR="00004485">
        <w:t>31</w:t>
      </w:r>
      <w:r w:rsidRPr="00830390">
        <w:t xml:space="preserve"> de </w:t>
      </w:r>
      <w:r w:rsidR="00004485">
        <w:t>julho</w:t>
      </w:r>
      <w:r w:rsidRPr="00830390">
        <w:t xml:space="preserve"> de 20</w:t>
      </w:r>
      <w:r>
        <w:t>18</w:t>
      </w:r>
      <w:r w:rsidRPr="00830390">
        <w:t>.</w:t>
      </w:r>
    </w:p>
    <w:p w:rsidR="00A531EB" w:rsidRDefault="00A531EB" w:rsidP="004213EA">
      <w:pPr>
        <w:jc w:val="center"/>
      </w:pPr>
    </w:p>
    <w:p w:rsidR="00884E4D" w:rsidRDefault="00884E4D" w:rsidP="004213EA">
      <w:pPr>
        <w:jc w:val="center"/>
      </w:pPr>
    </w:p>
    <w:p w:rsidR="003E096E" w:rsidRDefault="003E096E" w:rsidP="004213EA">
      <w:pPr>
        <w:jc w:val="center"/>
      </w:pPr>
    </w:p>
    <w:p w:rsidR="004213EA" w:rsidRDefault="004213EA" w:rsidP="004213EA">
      <w:pPr>
        <w:jc w:val="center"/>
      </w:pPr>
    </w:p>
    <w:p w:rsidR="00A531EB" w:rsidRPr="00F77AF5" w:rsidRDefault="00A531EB" w:rsidP="004213EA">
      <w:pPr>
        <w:pStyle w:val="Assinatura"/>
        <w:rPr>
          <w:caps w:val="0"/>
        </w:rPr>
      </w:pPr>
      <w:r>
        <w:rPr>
          <w:caps w:val="0"/>
        </w:rPr>
        <w:t>SECRETARIA</w:t>
      </w:r>
      <w:r w:rsidR="003E096E">
        <w:rPr>
          <w:caps w:val="0"/>
        </w:rPr>
        <w:t xml:space="preserve"> DA EDUCAÇÃO</w:t>
      </w:r>
      <w:r>
        <w:rPr>
          <w:caps w:val="0"/>
        </w:rPr>
        <w:t>,</w:t>
      </w:r>
    </w:p>
    <w:p w:rsidR="00A531EB" w:rsidRPr="00F77AF5" w:rsidRDefault="00A531EB" w:rsidP="004213EA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</w:t>
      </w:r>
      <w:r w:rsidRPr="00F77AF5">
        <w:rPr>
          <w:caps w:val="0"/>
        </w:rPr>
        <w:t>ator.</w:t>
      </w:r>
    </w:p>
    <w:p w:rsidR="00A531EB" w:rsidRPr="00F77AF5" w:rsidRDefault="00A531EB" w:rsidP="00A531EB">
      <w:pPr>
        <w:pStyle w:val="Assinatura"/>
        <w:spacing w:line="360" w:lineRule="auto"/>
        <w:rPr>
          <w:caps w:val="0"/>
        </w:rPr>
      </w:pPr>
    </w:p>
    <w:p w:rsidR="00A531EB" w:rsidRDefault="00A531EB" w:rsidP="00A531EB">
      <w:pPr>
        <w:spacing w:line="360" w:lineRule="auto"/>
      </w:pPr>
    </w:p>
    <w:p w:rsidR="00335BC1" w:rsidRDefault="00335BC1" w:rsidP="00A973BD">
      <w:pPr>
        <w:pStyle w:val="TtuloPrincipal"/>
        <w:keepNext w:val="0"/>
        <w:spacing w:before="0" w:after="0"/>
      </w:pPr>
    </w:p>
    <w:p w:rsidR="00A87C95" w:rsidRDefault="00A531EB" w:rsidP="00A973BD">
      <w:pPr>
        <w:pStyle w:val="TtuloPrincipal"/>
        <w:keepNext w:val="0"/>
        <w:spacing w:before="0" w:after="0"/>
      </w:pPr>
      <w:r>
        <w:t>RELATÓRIO</w:t>
      </w:r>
    </w:p>
    <w:p w:rsidR="003E096E" w:rsidRDefault="003E096E" w:rsidP="00A973BD">
      <w:pPr>
        <w:pStyle w:val="TtuloPrincipal"/>
        <w:keepNext w:val="0"/>
        <w:spacing w:before="0" w:after="0"/>
      </w:pPr>
    </w:p>
    <w:p w:rsidR="00A531EB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>
        <w:rPr>
          <w:u w:val="single"/>
        </w:rPr>
        <w:t>s</w:t>
      </w:r>
      <w:r w:rsidR="003E096E">
        <w:rPr>
          <w:u w:val="single"/>
        </w:rPr>
        <w:t>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</w:p>
    <w:p w:rsidR="000A5570" w:rsidRDefault="000A5570" w:rsidP="00A531EB">
      <w:pPr>
        <w:pStyle w:val="NomeJulgadorPadro"/>
        <w:spacing w:after="0"/>
        <w:rPr>
          <w:b w:val="0"/>
          <w:caps w:val="0"/>
        </w:rPr>
      </w:pPr>
    </w:p>
    <w:p w:rsidR="000A5570" w:rsidRDefault="00A531EB" w:rsidP="000A5570">
      <w:pPr>
        <w:pStyle w:val="PargrafoNormal"/>
        <w:spacing w:after="0"/>
      </w:pPr>
      <w:r>
        <w:t>Trata-se de pedido de informação apresentado</w:t>
      </w:r>
      <w:r w:rsidR="00335BC1">
        <w:t xml:space="preserve"> por Bruno Schimitt Morassutti, em 22/02/2018, nos termos abaixo</w:t>
      </w:r>
      <w:r w:rsidR="000A5570">
        <w:t>:</w:t>
      </w:r>
    </w:p>
    <w:p w:rsidR="00335BC1" w:rsidRDefault="00335BC1" w:rsidP="000A5570">
      <w:pPr>
        <w:pStyle w:val="PargrafoNormal"/>
        <w:spacing w:after="0"/>
      </w:pP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“Em complementação ao Protocolo SIC 19188: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4 – A CAGE realiza auditoria em todos os conselhos estaduais políticas públicas?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4.1 – Caso sim: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4.1.1 – Por quais motivos, de fato e de direito, apenas são disponibilizados mediante transparência ativa no Portal da Transparência relatórios de auditoria referentes ao Conselho Estadual de Educação?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4.2 – Caso não: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4.2.1 – Por quais motivos, de fato e de direito, não são realizadas auditorias nos demais conselhos estaduais?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4.2.2 – Quais são os requisitos e critérios para a realização de auditorias em conselhos estaduais?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4.2.2.1 – Caso estes requisitos e critérios estejam descritos em alguma norma, requisito acesso ao seu inteiro teor;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5 – Solicito lista indicando a periodicidade na qual a CAGE realiza auditorias em cada órgão e entidade da administração pública estadual direta e indireta;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6 – Em suas auditorias a CAGE avalia o cumprimento da Lei Federal 12.527/11?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6.1 – Caso sim: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6.1.1 – Existe algum procedimento específico ou checklist que seja utilizado para avaliar esta questão?</w:t>
      </w:r>
    </w:p>
    <w:p w:rsidR="00B36B31" w:rsidRDefault="00335BC1" w:rsidP="00335BC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6.1.1.1 – Caso sim, solicito acesso ao inteiro teor destes documentos;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6.2 – Caso não, por quais motivos, de fato e de direito, isso ocorre?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7 – Onde é possível localizar, mediante transparência ativa, a Portaria CAGE 24/2013?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7.1 – Requisito acesso ao link;</w:t>
      </w:r>
    </w:p>
    <w:p w:rsidR="00335BC1" w:rsidRDefault="00335BC1" w:rsidP="00335BC1">
      <w:pPr>
        <w:pStyle w:val="PargrafoNormal"/>
        <w:spacing w:after="0" w:line="240" w:lineRule="auto"/>
        <w:ind w:left="1418" w:firstLine="0"/>
      </w:pPr>
      <w:r>
        <w:rPr>
          <w:color w:val="000000"/>
          <w:sz w:val="20"/>
          <w:szCs w:val="20"/>
          <w:shd w:val="clear" w:color="auto" w:fill="FFFFFF"/>
        </w:rPr>
        <w:t>7.2 – Caso não seja possível acessar mediante transparência ativa: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7.2.1 – Por quais motivos, de fato e de direito, isso ocorre?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7.2.2 – Requisito acesso ao inteiro teor da portaria em questão.”</w:t>
      </w:r>
      <w:r w:rsidR="0000012F">
        <w:rPr>
          <w:color w:val="000000"/>
          <w:sz w:val="20"/>
          <w:szCs w:val="20"/>
          <w:shd w:val="clear" w:color="auto" w:fill="FFFFFF"/>
        </w:rPr>
        <w:t xml:space="preserve"> (sic)</w:t>
      </w:r>
    </w:p>
    <w:p w:rsidR="00335BC1" w:rsidRDefault="00335BC1" w:rsidP="00335BC1">
      <w:pPr>
        <w:pStyle w:val="PargrafoNormal"/>
        <w:spacing w:after="0"/>
        <w:ind w:firstLine="0"/>
      </w:pPr>
    </w:p>
    <w:p w:rsidR="00680070" w:rsidRDefault="000A5570" w:rsidP="00023AE6">
      <w:pPr>
        <w:shd w:val="clear" w:color="auto" w:fill="FFFFFF"/>
        <w:spacing w:line="360" w:lineRule="auto"/>
        <w:ind w:firstLine="1418"/>
        <w:rPr>
          <w:i/>
          <w:color w:val="auto"/>
        </w:rPr>
      </w:pPr>
      <w:r w:rsidRPr="00335BC1">
        <w:rPr>
          <w:color w:val="auto"/>
        </w:rPr>
        <w:t xml:space="preserve">Em </w:t>
      </w:r>
      <w:r w:rsidR="00335BC1" w:rsidRPr="00335BC1">
        <w:rPr>
          <w:color w:val="auto"/>
        </w:rPr>
        <w:t>26/03/2018</w:t>
      </w:r>
      <w:r w:rsidR="00B36B31">
        <w:rPr>
          <w:color w:val="auto"/>
        </w:rPr>
        <w:t>,</w:t>
      </w:r>
      <w:r w:rsidR="00335BC1" w:rsidRPr="00335BC1">
        <w:rPr>
          <w:color w:val="auto"/>
        </w:rPr>
        <w:t xml:space="preserve"> a Secretaria da Fazenda/Contadoria e Auditoria-Geral do Estado</w:t>
      </w:r>
      <w:r w:rsidR="00335BC1">
        <w:rPr>
          <w:color w:val="auto"/>
        </w:rPr>
        <w:t xml:space="preserve"> (SEFAZ/CAGE)</w:t>
      </w:r>
      <w:r w:rsidR="00335BC1" w:rsidRPr="00335BC1">
        <w:rPr>
          <w:color w:val="auto"/>
        </w:rPr>
        <w:t xml:space="preserve"> forneceu as informações</w:t>
      </w:r>
      <w:r w:rsidR="00680070">
        <w:rPr>
          <w:color w:val="auto"/>
        </w:rPr>
        <w:t xml:space="preserve"> solicitadas pelo requerente, à </w:t>
      </w:r>
      <w:r w:rsidR="00335BC1" w:rsidRPr="00335BC1">
        <w:rPr>
          <w:color w:val="auto"/>
        </w:rPr>
        <w:t xml:space="preserve">exceção do item 6.1.1.1, sob a justificativa de que </w:t>
      </w:r>
      <w:r w:rsidR="00B36B31">
        <w:rPr>
          <w:color w:val="auto"/>
        </w:rPr>
        <w:t>se</w:t>
      </w:r>
      <w:r w:rsidR="00680070">
        <w:rPr>
          <w:color w:val="auto"/>
        </w:rPr>
        <w:t xml:space="preserve">ria </w:t>
      </w:r>
      <w:r w:rsidR="00335BC1" w:rsidRPr="00680070">
        <w:rPr>
          <w:i/>
          <w:color w:val="auto"/>
        </w:rPr>
        <w:t>“sigilosa de acordo com o § 4º do art. 6º da Portaria CAGE nº 24/2013, devidamente amparada no item 13 da NBC T11 – IT – 02 Papéis de trabalho e documentação da auditoria, que determina o dever permanente do auditor quanto à confidencialidade dos papéis de trabalho.</w:t>
      </w:r>
      <w:r w:rsidR="00680070">
        <w:rPr>
          <w:i/>
          <w:color w:val="auto"/>
        </w:rPr>
        <w:t>”</w:t>
      </w:r>
    </w:p>
    <w:p w:rsidR="0000012F" w:rsidRDefault="00680070" w:rsidP="00335BC1">
      <w:pPr>
        <w:shd w:val="clear" w:color="auto" w:fill="FFFFFF"/>
        <w:spacing w:line="360" w:lineRule="auto"/>
        <w:ind w:firstLine="1418"/>
        <w:rPr>
          <w:color w:val="auto"/>
        </w:rPr>
      </w:pPr>
      <w:r>
        <w:rPr>
          <w:color w:val="auto"/>
        </w:rPr>
        <w:t>Inconformado com a negativa de acesso à informação atinente ao item 6.1.1.1</w:t>
      </w:r>
      <w:r w:rsidR="0000012F">
        <w:rPr>
          <w:color w:val="auto"/>
        </w:rPr>
        <w:t xml:space="preserve"> (especificamente)</w:t>
      </w:r>
      <w:r>
        <w:rPr>
          <w:color w:val="auto"/>
        </w:rPr>
        <w:t>, o demandante ingressou com pedido de reexame, em 26/03/2018, aduzindo que</w:t>
      </w:r>
      <w:r w:rsidR="0000012F">
        <w:rPr>
          <w:color w:val="auto"/>
        </w:rPr>
        <w:t>:</w:t>
      </w:r>
    </w:p>
    <w:p w:rsidR="0000012F" w:rsidRDefault="0000012F" w:rsidP="00335BC1">
      <w:pPr>
        <w:shd w:val="clear" w:color="auto" w:fill="FFFFFF"/>
        <w:spacing w:line="360" w:lineRule="auto"/>
        <w:ind w:firstLine="1418"/>
        <w:rPr>
          <w:color w:val="auto"/>
        </w:rPr>
      </w:pPr>
    </w:p>
    <w:p w:rsidR="00680070" w:rsidRPr="00680070" w:rsidRDefault="00680070" w:rsidP="0000012F">
      <w:pPr>
        <w:shd w:val="clear" w:color="auto" w:fill="FFFFFF"/>
        <w:ind w:left="1418"/>
        <w:rPr>
          <w:color w:val="auto"/>
        </w:rPr>
      </w:pPr>
      <w:r>
        <w:rPr>
          <w:color w:val="auto"/>
        </w:rPr>
        <w:t xml:space="preserve"> </w:t>
      </w:r>
      <w:r w:rsidR="0000012F">
        <w:rPr>
          <w:color w:val="auto"/>
        </w:rPr>
        <w:t>“</w:t>
      </w:r>
      <w:r w:rsidR="0000012F">
        <w:rPr>
          <w:color w:val="000000"/>
          <w:sz w:val="20"/>
          <w:szCs w:val="20"/>
          <w:shd w:val="clear" w:color="auto" w:fill="FFFFFF"/>
        </w:rPr>
        <w:t xml:space="preserve">Quanto ao item 6.1.1.1: Em primeiro lugar, as Normas Brasileiras de Contabilidade não são leis em sentido estrito e não se sobrepõem hierarquicamente à Lei Federal 12.527/11. Em segundo, a NBC T11-IT-02 foi aprovada pela Resolução nº 828/98 do Conselho Federal de Contabilidade, estando, portanto, desatualizada e não-recepcionada frente à nova legislação. Em terceiro, o art. 7º, inciso I da Lei referida assegura o direito de obter acesso a informações contidas em registros e documentos, produzidos ou acumulados por órgãos públicos, recolhidos ou não a arquivos públicos. Em quarto, o inciso VII, alínea ‘b’ do mesmo artigo é claro em estender este direito às inspeções, auditorias, prestações e tomadas de contas realizadas pelos órgão de controle interno. Em quinto, o que se requer, neste momento, é o ‘modelo’ do checklist ou procedimento utilizado e não documentos que já contenham informações - públicas - referentes a análises em concreto. Deste modo, requisito reexame </w:t>
      </w:r>
      <w:r w:rsidR="0000012F">
        <w:rPr>
          <w:color w:val="000000"/>
          <w:sz w:val="20"/>
          <w:szCs w:val="20"/>
          <w:shd w:val="clear" w:color="auto" w:fill="FFFFFF"/>
        </w:rPr>
        <w:lastRenderedPageBreak/>
        <w:t>da resposta fornecida, para fins de permitir o acesso às informações requisitadas.” (sic)</w:t>
      </w:r>
    </w:p>
    <w:p w:rsidR="0000012F" w:rsidRDefault="0000012F" w:rsidP="00750635">
      <w:pPr>
        <w:pStyle w:val="PargrafoNormal"/>
        <w:spacing w:after="0"/>
        <w:ind w:firstLine="0"/>
      </w:pPr>
    </w:p>
    <w:p w:rsidR="0000012F" w:rsidRDefault="00750635" w:rsidP="00A973BD">
      <w:pPr>
        <w:pStyle w:val="PargrafoNormal"/>
        <w:spacing w:after="0"/>
      </w:pPr>
      <w:r w:rsidRPr="00750635">
        <w:t xml:space="preserve">Em </w:t>
      </w:r>
      <w:r w:rsidR="0000012F">
        <w:t>04/04/2018, de ordem de autoridade máxima, a SEFAZ/CAGE respondeu ao reexame conforme segue:</w:t>
      </w:r>
    </w:p>
    <w:p w:rsidR="0000012F" w:rsidRDefault="0000012F" w:rsidP="0000012F">
      <w:pPr>
        <w:shd w:val="clear" w:color="auto" w:fill="FFFFFF"/>
        <w:ind w:left="1418"/>
        <w:rPr>
          <w:color w:val="333333"/>
          <w:sz w:val="20"/>
          <w:szCs w:val="20"/>
        </w:rPr>
      </w:pPr>
    </w:p>
    <w:p w:rsidR="0000012F" w:rsidRPr="0000012F" w:rsidRDefault="0000012F" w:rsidP="0000012F">
      <w:pPr>
        <w:shd w:val="clear" w:color="auto" w:fill="FFFFFF"/>
        <w:ind w:left="141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“</w:t>
      </w:r>
      <w:r w:rsidRPr="0000012F">
        <w:rPr>
          <w:color w:val="333333"/>
          <w:sz w:val="20"/>
          <w:szCs w:val="20"/>
        </w:rPr>
        <w:t xml:space="preserve">De ordem da autoridade máxima da Contadoria e Auditoria-Geral do Estado, esclarecemos que, consoante o próprio dispositivo legal </w:t>
      </w:r>
      <w:r>
        <w:rPr>
          <w:color w:val="333333"/>
          <w:sz w:val="20"/>
          <w:szCs w:val="20"/>
        </w:rPr>
        <w:t>citado pelo demandante (alínea ‘b’</w:t>
      </w:r>
      <w:r w:rsidRPr="0000012F">
        <w:rPr>
          <w:color w:val="333333"/>
          <w:sz w:val="20"/>
          <w:szCs w:val="20"/>
        </w:rPr>
        <w:t xml:space="preserve"> do inciso VII da Lei nº 12.5</w:t>
      </w:r>
      <w:r>
        <w:rPr>
          <w:color w:val="333333"/>
          <w:sz w:val="20"/>
          <w:szCs w:val="20"/>
        </w:rPr>
        <w:t>27/11), ‘</w:t>
      </w:r>
      <w:r w:rsidRPr="0000012F">
        <w:rPr>
          <w:color w:val="333333"/>
          <w:sz w:val="20"/>
          <w:szCs w:val="20"/>
        </w:rPr>
        <w:t>cabe aos órgãos e entidades do poder público, observadas as normas e procedimentos específicos aplicáveis, assegurar a informação relativa ao RESULTADO de inspeções, auditorias, prestações e tomadas de contas realizadas pelos órgãos de controle interno e externo, incluindo prestações de contas rel</w:t>
      </w:r>
      <w:r>
        <w:rPr>
          <w:color w:val="333333"/>
          <w:sz w:val="20"/>
          <w:szCs w:val="20"/>
        </w:rPr>
        <w:t>ativas a exercícios anteriores.’ (grifo nosso)  </w:t>
      </w:r>
      <w:r w:rsidRPr="0000012F">
        <w:rPr>
          <w:color w:val="333333"/>
          <w:sz w:val="20"/>
          <w:szCs w:val="20"/>
        </w:rPr>
        <w:t>Ou seja, a lei citada regula a publicidade do produto final das inspeções, auditorias, prestações e tomadas de contas realizadas pelos órgãos de controle interno, mas permanece omissa quanto à forma de o profissional conduzir o seu trabalho, bem como quanto à documentação que ele próprio produz em preparação ao resultado final, o que se denom</w:t>
      </w:r>
      <w:r>
        <w:rPr>
          <w:color w:val="333333"/>
          <w:sz w:val="20"/>
          <w:szCs w:val="20"/>
        </w:rPr>
        <w:t>ina, no campo da auditoria, de ‘papéis de trabalho’</w:t>
      </w:r>
      <w:r w:rsidRPr="0000012F">
        <w:rPr>
          <w:color w:val="333333"/>
          <w:sz w:val="20"/>
          <w:szCs w:val="20"/>
        </w:rPr>
        <w:t>, do qual faz par</w:t>
      </w:r>
      <w:r>
        <w:rPr>
          <w:color w:val="333333"/>
          <w:sz w:val="20"/>
          <w:szCs w:val="20"/>
        </w:rPr>
        <w:t>te, inclusive, o ‘modelo de checklist’</w:t>
      </w:r>
      <w:r w:rsidRPr="0000012F">
        <w:rPr>
          <w:color w:val="333333"/>
          <w:sz w:val="20"/>
          <w:szCs w:val="20"/>
        </w:rPr>
        <w:t xml:space="preserve"> requerido.   Além do mais, a Lei nº 12.527/11 não trata especificamente da questão do sigilo profissional, tema que é regulado, no âmbito do</w:t>
      </w:r>
      <w:r>
        <w:rPr>
          <w:color w:val="333333"/>
          <w:sz w:val="20"/>
          <w:szCs w:val="20"/>
        </w:rPr>
        <w:t>s trabalhos de auditoria, pela ‘</w:t>
      </w:r>
      <w:r w:rsidRPr="0000012F">
        <w:rPr>
          <w:color w:val="333333"/>
          <w:sz w:val="20"/>
          <w:szCs w:val="20"/>
        </w:rPr>
        <w:t>NBC T 11 – IT – 02 Papéis de Trabalho e Docum</w:t>
      </w:r>
      <w:r>
        <w:rPr>
          <w:color w:val="333333"/>
          <w:sz w:val="20"/>
          <w:szCs w:val="20"/>
        </w:rPr>
        <w:t>entação da Auditoria’, nos seguintes termos: ‘</w:t>
      </w:r>
      <w:r w:rsidRPr="0000012F">
        <w:rPr>
          <w:color w:val="333333"/>
          <w:sz w:val="20"/>
          <w:szCs w:val="20"/>
        </w:rPr>
        <w:t>13. A confidencialidade dos papéis de trabalho é dever permanente do auditor. 14. Os papéis de trabalho são de propriedade exclusiva do auditor. Partes ou excertos destes podem, a critério do auditor, ser posto</w:t>
      </w:r>
      <w:r>
        <w:rPr>
          <w:color w:val="333333"/>
          <w:sz w:val="20"/>
          <w:szCs w:val="20"/>
        </w:rPr>
        <w:t>s à disposição da entidade.’</w:t>
      </w:r>
      <w:r w:rsidRPr="0000012F">
        <w:rPr>
          <w:color w:val="333333"/>
          <w:sz w:val="20"/>
          <w:szCs w:val="20"/>
        </w:rPr>
        <w:t xml:space="preserve">   Cabe esclarecer, ainda, que a norma de contabilidade em questão foi aprovada mediante a Resolução nº 828/98, emanada do Conselho Federal de Contabilidade (CFC), o qual é uma Autarquia Especial Corporativa dotada de personalidade jurídica de direito público, detendo competência para, dentre outras, editar as Normas Brasileiras de Contabilidade de natureza técnica e profissional.   Diante disso, em que pese a Lei nº 12.527/11 ser posterior à Resolução nº 828/98, aquela não pode revogar esta no particular, por se tratar de norma específica no que tange à temática do sigilo profissional.   Tanto é assim que o Decreto nº 7.724/2012, o qual regula a Lei de Acesso à Informação no âmbito federal, precei</w:t>
      </w:r>
      <w:r>
        <w:rPr>
          <w:color w:val="333333"/>
          <w:sz w:val="20"/>
          <w:szCs w:val="20"/>
        </w:rPr>
        <w:t>tua no inciso I do art. 6º que ‘</w:t>
      </w:r>
      <w:r w:rsidRPr="0000012F">
        <w:rPr>
          <w:color w:val="333333"/>
          <w:sz w:val="20"/>
          <w:szCs w:val="20"/>
        </w:rPr>
        <w:t xml:space="preserve">o acesso à informação disciplinado neste Decreto não se aplica às hipóteses de sigilo previstas na legislação, como fiscal, bancário, de operações e serviços no mercado de capitais, comercial, PROFISSIONAL, </w:t>
      </w:r>
      <w:r>
        <w:rPr>
          <w:color w:val="333333"/>
          <w:sz w:val="20"/>
          <w:szCs w:val="20"/>
        </w:rPr>
        <w:t xml:space="preserve">industrial e segredo de justiça’. (grifo nosso). </w:t>
      </w:r>
      <w:r w:rsidRPr="0000012F">
        <w:rPr>
          <w:color w:val="333333"/>
          <w:sz w:val="20"/>
          <w:szCs w:val="20"/>
        </w:rPr>
        <w:t>Na seara estadual, apesar de o Decreto nº 49.111/2012 também ser omisso com relação ao sigilo profissional, o tema foi tratado no § 4º do art. 6º da Portari</w:t>
      </w:r>
      <w:r>
        <w:rPr>
          <w:color w:val="333333"/>
          <w:sz w:val="20"/>
          <w:szCs w:val="20"/>
        </w:rPr>
        <w:t>a CAGE nº 24/2013, que diz que ‘</w:t>
      </w:r>
      <w:r w:rsidRPr="0000012F">
        <w:rPr>
          <w:color w:val="333333"/>
          <w:sz w:val="20"/>
          <w:szCs w:val="20"/>
        </w:rPr>
        <w:t>classificam-se como sigilosas as informações enquadradas nas hipóteses de sigilo previstas em legislação específica, tais como as de natureza fiscal e bancária, as relacionadas a operações e serviços no mercado de capitais e as protegidas por sigilo comercial, PROFISSIONAL, indust</w:t>
      </w:r>
      <w:r>
        <w:rPr>
          <w:color w:val="333333"/>
          <w:sz w:val="20"/>
          <w:szCs w:val="20"/>
        </w:rPr>
        <w:t>rial ou por segredo de justiça.’</w:t>
      </w:r>
      <w:r w:rsidRPr="0000012F">
        <w:rPr>
          <w:color w:val="333333"/>
          <w:sz w:val="20"/>
          <w:szCs w:val="20"/>
        </w:rPr>
        <w:t xml:space="preserve"> (grifo nosso)   Por fim, informamos que o argumento do demandante de que o </w:t>
      </w:r>
      <w:r w:rsidRPr="0000012F">
        <w:rPr>
          <w:color w:val="333333"/>
          <w:sz w:val="20"/>
          <w:szCs w:val="20"/>
        </w:rPr>
        <w:lastRenderedPageBreak/>
        <w:t xml:space="preserve">inciso I </w:t>
      </w:r>
      <w:r>
        <w:rPr>
          <w:color w:val="333333"/>
          <w:sz w:val="20"/>
          <w:szCs w:val="20"/>
        </w:rPr>
        <w:t>do art. 7º da Lei nº 12.527/11 ‘</w:t>
      </w:r>
      <w:r w:rsidRPr="0000012F">
        <w:rPr>
          <w:color w:val="333333"/>
          <w:sz w:val="20"/>
          <w:szCs w:val="20"/>
        </w:rPr>
        <w:t>assegura o direito de obter acesso a informações contidas em registros e documentos, produzidos ou acumulados por órgãos públicos, recolhidos ou não a</w:t>
      </w:r>
      <w:r>
        <w:rPr>
          <w:color w:val="333333"/>
          <w:sz w:val="20"/>
          <w:szCs w:val="20"/>
        </w:rPr>
        <w:t xml:space="preserve"> arquivos públicos’</w:t>
      </w:r>
      <w:r w:rsidRPr="0000012F">
        <w:rPr>
          <w:color w:val="333333"/>
          <w:sz w:val="20"/>
          <w:szCs w:val="20"/>
        </w:rPr>
        <w:t xml:space="preserve"> (nos exatos termos do pedido de reexame) não se sustenta, já que o dispositivo em c</w:t>
      </w:r>
      <w:r>
        <w:rPr>
          <w:color w:val="333333"/>
          <w:sz w:val="20"/>
          <w:szCs w:val="20"/>
        </w:rPr>
        <w:t>omento tem a seguinte redação: ‘</w:t>
      </w:r>
      <w:r w:rsidRPr="0000012F">
        <w:rPr>
          <w:color w:val="333333"/>
          <w:sz w:val="20"/>
          <w:szCs w:val="20"/>
        </w:rPr>
        <w:t xml:space="preserve">o acesso à informação de que trata esta Lei compreende, entre outros, os direitos de obter orientação sobre os procedimentos para a consecução de acesso, bem como sobre o local onde poderá ser encontrada </w:t>
      </w:r>
      <w:r>
        <w:rPr>
          <w:color w:val="333333"/>
          <w:sz w:val="20"/>
          <w:szCs w:val="20"/>
        </w:rPr>
        <w:t>ou obtida a informação almejada’</w:t>
      </w:r>
      <w:r w:rsidRPr="0000012F">
        <w:rPr>
          <w:color w:val="333333"/>
          <w:sz w:val="20"/>
          <w:szCs w:val="20"/>
        </w:rPr>
        <w:t>. Logo, o inciso citado pelo demandante trata de procedimentos para a consecução do acesso à informação e do local onde ela poderá ser encontrada, o que é bem diferente do argumento utilizado no pedido de reexame.   Conseguintemente, diante da fundamentação exposta, rejeitamos o pedido de reexame e mantemos a decisão impugnada.</w:t>
      </w:r>
      <w:r>
        <w:rPr>
          <w:color w:val="333333"/>
          <w:sz w:val="20"/>
          <w:szCs w:val="20"/>
        </w:rPr>
        <w:t>”</w:t>
      </w:r>
      <w:r w:rsidRPr="0000012F">
        <w:rPr>
          <w:color w:val="333333"/>
          <w:sz w:val="20"/>
          <w:szCs w:val="20"/>
        </w:rPr>
        <w:t> </w:t>
      </w:r>
    </w:p>
    <w:p w:rsidR="0000012F" w:rsidRDefault="0000012F" w:rsidP="00023AE6">
      <w:pPr>
        <w:pStyle w:val="PargrafoNormal"/>
        <w:spacing w:after="0"/>
        <w:ind w:firstLine="0"/>
      </w:pPr>
    </w:p>
    <w:p w:rsidR="002201C5" w:rsidRDefault="000B2F25" w:rsidP="00A973BD">
      <w:pPr>
        <w:pStyle w:val="PargrafoNormal"/>
        <w:spacing w:after="0"/>
      </w:pPr>
      <w:r>
        <w:t xml:space="preserve">Em </w:t>
      </w:r>
      <w:r w:rsidR="002201C5">
        <w:t>04/04/2018, o demandante encaminhou recurso sustentando que:</w:t>
      </w:r>
    </w:p>
    <w:p w:rsidR="002201C5" w:rsidRDefault="00023AE6" w:rsidP="00023AE6">
      <w:pPr>
        <w:pStyle w:val="PargrafoNormal"/>
        <w:spacing w:after="0" w:line="240" w:lineRule="auto"/>
        <w:ind w:left="1418" w:firstLine="0"/>
      </w:pPr>
      <w:r>
        <w:rPr>
          <w:color w:val="333333"/>
          <w:sz w:val="20"/>
          <w:szCs w:val="20"/>
          <w:shd w:val="clear" w:color="auto" w:fill="FFFFFF"/>
        </w:rPr>
        <w:t>“1) O ‘sigilo profissional’ não é aplicável ao caso, pois: 1.1) informações produzidas por servidores públicos, no exercício de suas funções, são documentos públicos, nos termos do art. 7º, caput da LF 8.159/91; 1.2) a informação requerida (modelo de checklist ou afim) não ‘pertence’ a um servidor ou ‘profissional’ específico, mas a todos os servidores da CAGE que, indistintamente, fiscalizem a transparência ativa dos órgãos estaduais; 1.3) a informação requerida é documento corrente e permanente, nos termos do art. 8º, §§1º e 3º da LF 8.159/91; 1.4) a NBC T11.02 é uma interpretação das NBC destinada primariamente aos auditores do setor privado, devendo sua aplicação ao setor público ser adaptada às normas deste setor, que impõem a transparência como regra; 1.4.1) exemplo: o item 14 da T11.02 diz que os ‘papéis de trabalho são de propriedade exclusiva do auditor’, o que é não correto, pois o resultado do trabalho do agente público é do domínio do ente a que se vincula; 1.5) a LF 12.527/11é norma superior e posterior; 1.5.1) a LF 12.527/11 é norma especial, pois é destinada ao setor público; 1.6) o art. 7º, II e VII, ‘b’ da LF 12.527/11 asseguram direito público subjetivo às informações requeridas; 2) pelo regime jurídico brasileiro, não há informação pública que possa ficar indisponível ao público por prazo indeterminado; 3) o entendimento impede que cidadãos possam contribuir com sugestões de melhorias ao serviço público. Reiteram-se os demais.” (sic)</w:t>
      </w:r>
    </w:p>
    <w:p w:rsidR="002201C5" w:rsidRDefault="002201C5" w:rsidP="00A973BD">
      <w:pPr>
        <w:pStyle w:val="PargrafoNormal"/>
        <w:spacing w:after="0"/>
      </w:pPr>
    </w:p>
    <w:p w:rsidR="00023AE6" w:rsidRDefault="00A531EB" w:rsidP="00023AE6">
      <w:pPr>
        <w:pStyle w:val="PargrafoNormal"/>
        <w:spacing w:after="0"/>
      </w:pPr>
      <w:r>
        <w:t>Veio o recurso a esta CMRI/RS.</w:t>
      </w:r>
    </w:p>
    <w:p w:rsidR="00750635" w:rsidRDefault="00A531EB" w:rsidP="00A973BD">
      <w:pPr>
        <w:pStyle w:val="PargrafoNormal"/>
        <w:spacing w:after="0"/>
      </w:pPr>
      <w:r>
        <w:t>Após, foi a mim distribuído para julgamento.</w:t>
      </w:r>
    </w:p>
    <w:p w:rsidR="00A531EB" w:rsidRDefault="00A531EB" w:rsidP="00A531EB">
      <w:pPr>
        <w:pStyle w:val="PargrafoNormal"/>
        <w:spacing w:after="0"/>
      </w:pPr>
      <w:r>
        <w:t>É o relatório.</w:t>
      </w:r>
    </w:p>
    <w:p w:rsidR="00750635" w:rsidRDefault="00750635" w:rsidP="00A973BD">
      <w:pPr>
        <w:pStyle w:val="PargrafoNormal"/>
        <w:spacing w:after="0"/>
        <w:ind w:firstLine="0"/>
      </w:pPr>
    </w:p>
    <w:p w:rsidR="00A531EB" w:rsidRDefault="00A531EB" w:rsidP="00A531EB">
      <w:pPr>
        <w:pStyle w:val="PargrafoNormal"/>
        <w:spacing w:after="0"/>
      </w:pPr>
    </w:p>
    <w:p w:rsidR="00023AE6" w:rsidRDefault="00023AE6" w:rsidP="00A531EB">
      <w:pPr>
        <w:pStyle w:val="PargrafoNormal"/>
        <w:spacing w:after="0"/>
      </w:pPr>
    </w:p>
    <w:p w:rsidR="00A531EB" w:rsidRDefault="00A973BD" w:rsidP="00A531EB">
      <w:pPr>
        <w:pStyle w:val="TtuloPrincipal"/>
        <w:keepNext w:val="0"/>
        <w:spacing w:before="0" w:after="0"/>
      </w:pPr>
      <w:r>
        <w:lastRenderedPageBreak/>
        <w:t>VOTOS</w:t>
      </w:r>
    </w:p>
    <w:p w:rsidR="00A531EB" w:rsidRDefault="00A531EB" w:rsidP="00A531E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</w:t>
      </w:r>
      <w:r w:rsidR="003E096E">
        <w:rPr>
          <w:u w:val="single"/>
        </w:rPr>
        <w:t>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  <w:r w:rsidRPr="00830390">
        <w:rPr>
          <w:b w:val="0"/>
          <w:caps w:val="0"/>
        </w:rPr>
        <w:t xml:space="preserve"> </w:t>
      </w:r>
    </w:p>
    <w:p w:rsidR="00750635" w:rsidRDefault="00750635" w:rsidP="00A531EB">
      <w:pPr>
        <w:suppressAutoHyphens/>
        <w:spacing w:line="360" w:lineRule="auto"/>
        <w:ind w:firstLine="1418"/>
        <w:rPr>
          <w:lang w:eastAsia="ar-SA"/>
        </w:rPr>
      </w:pPr>
    </w:p>
    <w:p w:rsidR="00750635" w:rsidRDefault="00A531EB" w:rsidP="00A973BD">
      <w:pPr>
        <w:suppressAutoHyphens/>
        <w:spacing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023AE6" w:rsidRDefault="006C5585" w:rsidP="00A531EB">
      <w:pPr>
        <w:suppressAutoHyphens/>
        <w:spacing w:line="360" w:lineRule="auto"/>
        <w:ind w:firstLine="1418"/>
        <w:rPr>
          <w:lang w:eastAsia="ar-SA"/>
        </w:rPr>
      </w:pPr>
      <w:r w:rsidRPr="00E347E0">
        <w:rPr>
          <w:lang w:eastAsia="ar-SA"/>
        </w:rPr>
        <w:t>Verifico que</w:t>
      </w:r>
      <w:r w:rsidR="00023AE6">
        <w:rPr>
          <w:lang w:eastAsia="ar-SA"/>
        </w:rPr>
        <w:t xml:space="preserve"> a questão recursal reside, exclusivamente, em entendimentos diversos (cidadão e órgão recorrido) quanto à divulgação de papéis de trabalho de auditoria.</w:t>
      </w:r>
    </w:p>
    <w:p w:rsidR="00023AE6" w:rsidRDefault="00023AE6" w:rsidP="00A531EB">
      <w:pPr>
        <w:suppressAutoHyphens/>
        <w:spacing w:line="360" w:lineRule="auto"/>
        <w:ind w:firstLine="1418"/>
        <w:rPr>
          <w:i/>
          <w:color w:val="333333"/>
          <w:sz w:val="20"/>
          <w:szCs w:val="20"/>
        </w:rPr>
      </w:pPr>
      <w:r w:rsidRPr="00023AE6">
        <w:rPr>
          <w:color w:val="auto"/>
          <w:lang w:eastAsia="ar-SA"/>
        </w:rPr>
        <w:t xml:space="preserve">Enquanto que o recorrente defende a ampla divulgação dos mesmos, referindo que </w:t>
      </w:r>
      <w:r w:rsidRPr="00023AE6">
        <w:rPr>
          <w:i/>
          <w:color w:val="auto"/>
          <w:lang w:eastAsia="ar-SA"/>
        </w:rPr>
        <w:t>“</w:t>
      </w:r>
      <w:r w:rsidRPr="00023AE6">
        <w:rPr>
          <w:i/>
          <w:color w:val="auto"/>
          <w:shd w:val="clear" w:color="auto" w:fill="FFFFFF"/>
        </w:rPr>
        <w:t>informações produzidas por servidores públicos, no exercício de suas funções, são documentos públicos”</w:t>
      </w:r>
      <w:r>
        <w:rPr>
          <w:i/>
          <w:color w:val="auto"/>
          <w:shd w:val="clear" w:color="auto" w:fill="FFFFFF"/>
        </w:rPr>
        <w:t xml:space="preserve"> </w:t>
      </w:r>
      <w:r w:rsidRPr="00023AE6">
        <w:rPr>
          <w:color w:val="auto"/>
          <w:shd w:val="clear" w:color="auto" w:fill="FFFFFF"/>
        </w:rPr>
        <w:t xml:space="preserve">e que </w:t>
      </w:r>
      <w:r w:rsidRPr="00023AE6">
        <w:rPr>
          <w:i/>
          <w:color w:val="auto"/>
          <w:shd w:val="clear" w:color="auto" w:fill="FFFFFF"/>
        </w:rPr>
        <w:t>“pelo regime jurídico brasileiro, não há informação pública que possa ficar indisponível ao público por prazo indeterminado</w:t>
      </w:r>
      <w:r>
        <w:rPr>
          <w:i/>
          <w:color w:val="auto"/>
          <w:shd w:val="clear" w:color="auto" w:fill="FFFFFF"/>
        </w:rPr>
        <w:t xml:space="preserve">” </w:t>
      </w:r>
      <w:r w:rsidRPr="00023AE6">
        <w:rPr>
          <w:color w:val="auto"/>
          <w:shd w:val="clear" w:color="auto" w:fill="FFFFFF"/>
        </w:rPr>
        <w:t xml:space="preserve">(dentre outros argumentos), a SEFAZ/CAGE sustenta que </w:t>
      </w:r>
      <w:r w:rsidR="00D67B8B" w:rsidRPr="00D67B8B">
        <w:rPr>
          <w:i/>
          <w:color w:val="auto"/>
          <w:shd w:val="clear" w:color="auto" w:fill="FFFFFF"/>
        </w:rPr>
        <w:t>“</w:t>
      </w:r>
      <w:r w:rsidR="00D67B8B" w:rsidRPr="0000012F">
        <w:rPr>
          <w:i/>
          <w:color w:val="auto"/>
        </w:rPr>
        <w:t>cabe aos órgãos e entidades do poder público, observadas as normas e procedimentos específicos aplicáveis, assegurar a informação relativa ao RESULTADO de inspeções, auditorias, prestações e tomadas de contas realizadas pelos órgãos de controle interno e externo, incluindo prestações de contas rel</w:t>
      </w:r>
      <w:r w:rsidR="00D67B8B" w:rsidRPr="00D67B8B">
        <w:rPr>
          <w:i/>
          <w:color w:val="auto"/>
        </w:rPr>
        <w:t>ativas a exercícios anteriores.’ (grifo nosso)  </w:t>
      </w:r>
      <w:r w:rsidR="00D67B8B" w:rsidRPr="0000012F">
        <w:rPr>
          <w:i/>
          <w:color w:val="auto"/>
        </w:rPr>
        <w:t>Ou seja, a lei citada regula a publicidade do produto final das inspeções, auditorias, prestações e tomadas de contas realizadas pelos órgãos de controle interno, mas permanece omissa quanto à forma de o profissional conduzir o seu trabalho, bem como quanto à documentação que ele próprio produz em preparação ao resultado final, o que se denom</w:t>
      </w:r>
      <w:r w:rsidR="00D67B8B" w:rsidRPr="00D67B8B">
        <w:rPr>
          <w:i/>
          <w:color w:val="auto"/>
        </w:rPr>
        <w:t>ina, no campo da auditoria, de ‘papéis de trabalho’</w:t>
      </w:r>
      <w:r w:rsidR="00D67B8B" w:rsidRPr="0000012F">
        <w:rPr>
          <w:i/>
          <w:color w:val="auto"/>
        </w:rPr>
        <w:t>, do qual faz par</w:t>
      </w:r>
      <w:r w:rsidR="00D67B8B" w:rsidRPr="00D67B8B">
        <w:rPr>
          <w:i/>
          <w:color w:val="auto"/>
        </w:rPr>
        <w:t>te, inclusive, o ‘modelo de checklist’</w:t>
      </w:r>
      <w:r w:rsidR="00D67B8B" w:rsidRPr="0000012F">
        <w:rPr>
          <w:i/>
          <w:color w:val="auto"/>
        </w:rPr>
        <w:t xml:space="preserve"> requerido</w:t>
      </w:r>
      <w:r w:rsidR="00D67B8B" w:rsidRPr="0000012F">
        <w:rPr>
          <w:i/>
          <w:color w:val="333333"/>
          <w:sz w:val="20"/>
          <w:szCs w:val="20"/>
        </w:rPr>
        <w:t>.</w:t>
      </w:r>
      <w:r w:rsidR="00D67B8B" w:rsidRPr="00D67B8B">
        <w:rPr>
          <w:i/>
          <w:color w:val="333333"/>
          <w:sz w:val="20"/>
          <w:szCs w:val="20"/>
        </w:rPr>
        <w:t>”</w:t>
      </w:r>
    </w:p>
    <w:p w:rsidR="00737489" w:rsidRDefault="00737489" w:rsidP="00A531EB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Tendo em vista os argumentos apresentados, entendo que não assiste razão ao recorrente. A Lei de Acesso à Informação, embora determine a publicidade como regra e o sigilo como exceção (no tocante a informações e </w:t>
      </w:r>
      <w:r>
        <w:rPr>
          <w:lang w:eastAsia="ar-SA"/>
        </w:rPr>
        <w:lastRenderedPageBreak/>
        <w:t>documentos públicos), também prevê hipóteses de sigilo onde a negativa de acesso se justifica.</w:t>
      </w:r>
    </w:p>
    <w:p w:rsidR="00953BB9" w:rsidRDefault="00737489" w:rsidP="00DF4B00">
      <w:pPr>
        <w:shd w:val="clear" w:color="auto" w:fill="FFFFFF"/>
        <w:spacing w:line="360" w:lineRule="auto"/>
        <w:ind w:firstLine="1418"/>
        <w:rPr>
          <w:i/>
          <w:color w:val="auto"/>
        </w:rPr>
      </w:pPr>
      <w:r w:rsidRPr="00953BB9">
        <w:rPr>
          <w:color w:val="auto"/>
          <w:lang w:eastAsia="ar-SA"/>
        </w:rPr>
        <w:t xml:space="preserve">O órgão recorrido fundamentou a negativa de acesso à informação em razão da mesma ser </w:t>
      </w:r>
      <w:r w:rsidRPr="00953BB9">
        <w:rPr>
          <w:i/>
          <w:color w:val="auto"/>
        </w:rPr>
        <w:t>“sigilosa de acordo com o § 4º do art. 6º da Portaria CAGE nº 24/2013, devidamente amparada no item 13 da NBC T11 – IT – 02 Papéis de trabalho e documentação da auditoria, que determina o dever permanente do auditor quanto à confidencialidade dos papéis de trabalho.”</w:t>
      </w:r>
      <w:r w:rsidR="00953BB9" w:rsidRPr="00953BB9">
        <w:rPr>
          <w:i/>
          <w:color w:val="auto"/>
        </w:rPr>
        <w:t xml:space="preserve"> </w:t>
      </w:r>
      <w:r w:rsidR="00953BB9" w:rsidRPr="00953BB9">
        <w:rPr>
          <w:color w:val="auto"/>
        </w:rPr>
        <w:t xml:space="preserve">E foi além, </w:t>
      </w:r>
      <w:r w:rsidR="00953BB9" w:rsidRPr="0000012F">
        <w:rPr>
          <w:color w:val="auto"/>
        </w:rPr>
        <w:t>esclarece</w:t>
      </w:r>
      <w:r w:rsidR="00953BB9">
        <w:rPr>
          <w:color w:val="auto"/>
        </w:rPr>
        <w:t xml:space="preserve">u que, </w:t>
      </w:r>
      <w:r w:rsidR="00953BB9" w:rsidRPr="00953BB9">
        <w:rPr>
          <w:i/>
          <w:color w:val="auto"/>
        </w:rPr>
        <w:t>“</w:t>
      </w:r>
      <w:r w:rsidR="00953BB9" w:rsidRPr="0000012F">
        <w:rPr>
          <w:i/>
          <w:color w:val="auto"/>
        </w:rPr>
        <w:t xml:space="preserve">consoante o próprio dispositivo legal </w:t>
      </w:r>
      <w:r w:rsidR="00953BB9" w:rsidRPr="00953BB9">
        <w:rPr>
          <w:i/>
          <w:color w:val="auto"/>
        </w:rPr>
        <w:t>citado pelo demandante (alínea ‘b’</w:t>
      </w:r>
      <w:r w:rsidR="00953BB9" w:rsidRPr="0000012F">
        <w:rPr>
          <w:i/>
          <w:color w:val="auto"/>
        </w:rPr>
        <w:t xml:space="preserve"> do inciso VII da Lei nº 12.5</w:t>
      </w:r>
      <w:r w:rsidR="00953BB9" w:rsidRPr="00953BB9">
        <w:rPr>
          <w:i/>
          <w:color w:val="auto"/>
        </w:rPr>
        <w:t>27/11), ‘</w:t>
      </w:r>
      <w:r w:rsidR="00953BB9" w:rsidRPr="0000012F">
        <w:rPr>
          <w:i/>
          <w:color w:val="auto"/>
        </w:rPr>
        <w:t>cabe aos órgãos e entidades do poder público, observadas as normas e procedimentos específicos aplicáveis, assegurar a informação relativa ao RESULTADO de inspeções, auditorias, prestações e tomadas de contas realizadas pelos órgãos de controle interno e externo, incluindo prestações de contas rel</w:t>
      </w:r>
      <w:r w:rsidR="00953BB9">
        <w:rPr>
          <w:i/>
          <w:color w:val="auto"/>
        </w:rPr>
        <w:t>ativas a exercícios anteriores”.</w:t>
      </w:r>
    </w:p>
    <w:p w:rsidR="00953BB9" w:rsidRPr="00EB519F" w:rsidRDefault="00953BB9" w:rsidP="00DF4B00">
      <w:pPr>
        <w:shd w:val="clear" w:color="auto" w:fill="FFFFFF"/>
        <w:spacing w:line="360" w:lineRule="auto"/>
        <w:ind w:firstLine="1418"/>
        <w:rPr>
          <w:color w:val="000000" w:themeColor="text1"/>
        </w:rPr>
      </w:pPr>
      <w:r>
        <w:rPr>
          <w:color w:val="auto"/>
        </w:rPr>
        <w:t>A</w:t>
      </w:r>
      <w:r w:rsidR="009746AE">
        <w:rPr>
          <w:color w:val="auto"/>
        </w:rPr>
        <w:t xml:space="preserve">ssim, estou convicto quanto ao </w:t>
      </w:r>
      <w:r w:rsidR="009746AE" w:rsidRPr="00EB519F">
        <w:rPr>
          <w:color w:val="000000" w:themeColor="text1"/>
        </w:rPr>
        <w:t>acolhimen</w:t>
      </w:r>
      <w:bookmarkStart w:id="0" w:name="_GoBack"/>
      <w:bookmarkEnd w:id="0"/>
      <w:r w:rsidR="009746AE" w:rsidRPr="00EB519F">
        <w:rPr>
          <w:color w:val="000000" w:themeColor="text1"/>
        </w:rPr>
        <w:t xml:space="preserve">to do </w:t>
      </w:r>
      <w:r w:rsidRPr="00EB519F">
        <w:rPr>
          <w:color w:val="000000" w:themeColor="text1"/>
        </w:rPr>
        <w:t xml:space="preserve">esclarecimento prestado pela SEFAZ/CAGE </w:t>
      </w:r>
      <w:r w:rsidR="009746AE" w:rsidRPr="00EB519F">
        <w:rPr>
          <w:color w:val="000000" w:themeColor="text1"/>
        </w:rPr>
        <w:t xml:space="preserve">no tocante </w:t>
      </w:r>
      <w:r w:rsidRPr="00EB519F">
        <w:rPr>
          <w:color w:val="000000" w:themeColor="text1"/>
        </w:rPr>
        <w:t>ao pretenso conflito entre a publicidade determinada pela Lei Federal nº 12.527/2011, regulada no âmbito do Estado do Rio Grande do Sul pelo Decreto Estadual nº 49.111/2012, e o fundamento utilizado para resguardar o sigilo dos papéis de trabalho da auditoria.</w:t>
      </w:r>
    </w:p>
    <w:p w:rsidR="00737489" w:rsidRPr="00EB519F" w:rsidRDefault="00DF4B00" w:rsidP="00737489">
      <w:pPr>
        <w:shd w:val="clear" w:color="auto" w:fill="FFFFFF"/>
        <w:spacing w:line="360" w:lineRule="auto"/>
        <w:ind w:firstLine="1418"/>
        <w:rPr>
          <w:color w:val="000000" w:themeColor="text1"/>
        </w:rPr>
      </w:pPr>
      <w:r w:rsidRPr="00EB519F">
        <w:rPr>
          <w:color w:val="000000" w:themeColor="text1"/>
        </w:rPr>
        <w:t xml:space="preserve">O Decreto </w:t>
      </w:r>
      <w:r w:rsidR="003751A4" w:rsidRPr="00EB519F">
        <w:rPr>
          <w:color w:val="000000" w:themeColor="text1"/>
        </w:rPr>
        <w:t xml:space="preserve">Estadual </w:t>
      </w:r>
      <w:r w:rsidRPr="00EB519F">
        <w:rPr>
          <w:color w:val="000000" w:themeColor="text1"/>
        </w:rPr>
        <w:t xml:space="preserve">nº 49.111/2012, no seu art. 10, inciso III, refere </w:t>
      </w:r>
      <w:r w:rsidR="009746AE" w:rsidRPr="00EB519F">
        <w:rPr>
          <w:color w:val="000000" w:themeColor="text1"/>
        </w:rPr>
        <w:t>a possibilidade da</w:t>
      </w:r>
      <w:r w:rsidRPr="00EB519F">
        <w:rPr>
          <w:color w:val="000000" w:themeColor="text1"/>
        </w:rPr>
        <w:t xml:space="preserve"> recusa de acesso à informação quando esta </w:t>
      </w:r>
      <w:r w:rsidRPr="00EB519F">
        <w:rPr>
          <w:i/>
          <w:color w:val="000000" w:themeColor="text1"/>
        </w:rPr>
        <w:t xml:space="preserve">“tratar de </w:t>
      </w:r>
      <w:r w:rsidRPr="00EB519F">
        <w:rPr>
          <w:b/>
          <w:i/>
          <w:color w:val="000000" w:themeColor="text1"/>
          <w:u w:val="single"/>
        </w:rPr>
        <w:t>demais hipóteses legais de sigilo</w:t>
      </w:r>
      <w:r w:rsidRPr="00EB519F">
        <w:rPr>
          <w:i/>
          <w:color w:val="000000" w:themeColor="text1"/>
        </w:rPr>
        <w:t>, segredo de justiça, segredo industrial decorrentes da exploração direta de atividade econômica pelo Estado ou por pessoa física ou entidade privada que tenha qualquer vínculo com o Poder Público.”</w:t>
      </w:r>
      <w:r w:rsidR="003751A4" w:rsidRPr="00EB519F">
        <w:rPr>
          <w:i/>
          <w:color w:val="000000" w:themeColor="text1"/>
        </w:rPr>
        <w:t xml:space="preserve"> </w:t>
      </w:r>
      <w:r w:rsidR="00953BB9" w:rsidRPr="00EB519F">
        <w:rPr>
          <w:color w:val="000000" w:themeColor="text1"/>
        </w:rPr>
        <w:t xml:space="preserve"> </w:t>
      </w:r>
    </w:p>
    <w:p w:rsidR="00023AE6" w:rsidRPr="00EB519F" w:rsidRDefault="00DF4B00" w:rsidP="00DF4B00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EB519F">
        <w:rPr>
          <w:color w:val="000000" w:themeColor="text1"/>
          <w:lang w:eastAsia="ar-SA"/>
        </w:rPr>
        <w:t xml:space="preserve">Importa esclarecer que os papéis de auditoria (e, nestes, incluído o </w:t>
      </w:r>
      <w:r w:rsidRPr="00EB519F">
        <w:rPr>
          <w:i/>
          <w:color w:val="000000" w:themeColor="text1"/>
          <w:lang w:eastAsia="ar-SA"/>
        </w:rPr>
        <w:t>checklist</w:t>
      </w:r>
      <w:r w:rsidRPr="00EB519F">
        <w:rPr>
          <w:color w:val="000000" w:themeColor="text1"/>
          <w:lang w:eastAsia="ar-SA"/>
        </w:rPr>
        <w:t xml:space="preserve"> mencionado pelo recorrente) abarcam estratégias de trabalho do auditor, variáveis de acordo com o objeto a ser auditado, cuja </w:t>
      </w:r>
      <w:r w:rsidR="009746AE" w:rsidRPr="00EB519F">
        <w:rPr>
          <w:color w:val="000000" w:themeColor="text1"/>
          <w:lang w:eastAsia="ar-SA"/>
        </w:rPr>
        <w:t xml:space="preserve">ampla </w:t>
      </w:r>
      <w:r w:rsidRPr="00EB519F">
        <w:rPr>
          <w:color w:val="000000" w:themeColor="text1"/>
          <w:lang w:eastAsia="ar-SA"/>
        </w:rPr>
        <w:t xml:space="preserve">divulgação </w:t>
      </w:r>
      <w:r w:rsidRPr="00EB519F">
        <w:rPr>
          <w:color w:val="000000" w:themeColor="text1"/>
          <w:lang w:eastAsia="ar-SA"/>
        </w:rPr>
        <w:lastRenderedPageBreak/>
        <w:t xml:space="preserve">pode comprometer o próprio resultado da apuração. E, por esta razão, são </w:t>
      </w:r>
      <w:r w:rsidR="003751A4" w:rsidRPr="00EB519F">
        <w:rPr>
          <w:color w:val="000000" w:themeColor="text1"/>
          <w:lang w:eastAsia="ar-SA"/>
        </w:rPr>
        <w:t>enquadrados como sigilo profissional</w:t>
      </w:r>
      <w:r w:rsidRPr="00EB519F">
        <w:rPr>
          <w:color w:val="000000" w:themeColor="text1"/>
          <w:lang w:eastAsia="ar-SA"/>
        </w:rPr>
        <w:t xml:space="preserve">. </w:t>
      </w:r>
      <w:r w:rsidR="009746AE" w:rsidRPr="00EB519F">
        <w:rPr>
          <w:color w:val="000000" w:themeColor="text1"/>
          <w:lang w:eastAsia="ar-SA"/>
        </w:rPr>
        <w:t xml:space="preserve">Em suma, o que é público é o </w:t>
      </w:r>
      <w:r w:rsidRPr="00EB519F">
        <w:rPr>
          <w:color w:val="000000" w:themeColor="text1"/>
          <w:lang w:eastAsia="ar-SA"/>
        </w:rPr>
        <w:t>produto da auditoria</w:t>
      </w:r>
      <w:r w:rsidR="003751A4" w:rsidRPr="00EB519F">
        <w:rPr>
          <w:color w:val="000000" w:themeColor="text1"/>
          <w:lang w:eastAsia="ar-SA"/>
        </w:rPr>
        <w:t>,</w:t>
      </w:r>
      <w:r w:rsidR="009746AE" w:rsidRPr="00EB519F">
        <w:rPr>
          <w:color w:val="000000" w:themeColor="text1"/>
          <w:lang w:eastAsia="ar-SA"/>
        </w:rPr>
        <w:t xml:space="preserve"> e não os papéis de trabalho</w:t>
      </w:r>
      <w:r w:rsidRPr="00EB519F">
        <w:rPr>
          <w:color w:val="000000" w:themeColor="text1"/>
          <w:lang w:eastAsia="ar-SA"/>
        </w:rPr>
        <w:t xml:space="preserve">. </w:t>
      </w:r>
    </w:p>
    <w:p w:rsidR="00E50C7C" w:rsidRPr="00EB519F" w:rsidRDefault="00E50C7C" w:rsidP="00DF4B00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EB519F">
        <w:rPr>
          <w:color w:val="000000" w:themeColor="text1"/>
          <w:lang w:eastAsia="ar-SA"/>
        </w:rPr>
        <w:t>Assim sendo, o voto vai no sentido de negar provimento ao recurso</w:t>
      </w:r>
      <w:r w:rsidR="0083274A" w:rsidRPr="00EB519F">
        <w:rPr>
          <w:color w:val="000000" w:themeColor="text1"/>
          <w:lang w:eastAsia="ar-SA"/>
        </w:rPr>
        <w:t xml:space="preserve">. </w:t>
      </w:r>
    </w:p>
    <w:p w:rsidR="003751A4" w:rsidRPr="00EB519F" w:rsidRDefault="003751A4" w:rsidP="00DF4B00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:rsidR="007758E1" w:rsidRPr="00EB519F" w:rsidRDefault="00A531EB" w:rsidP="008054E4">
      <w:pPr>
        <w:pStyle w:val="PargrafoNormal"/>
        <w:spacing w:after="0"/>
        <w:ind w:firstLine="1440"/>
        <w:rPr>
          <w:color w:val="000000" w:themeColor="text1"/>
        </w:rPr>
      </w:pPr>
      <w:r w:rsidRPr="00EB519F">
        <w:rPr>
          <w:b/>
          <w:color w:val="000000" w:themeColor="text1"/>
        </w:rPr>
        <w:t>Recurso na Demanda nº 1</w:t>
      </w:r>
      <w:r w:rsidR="00E50C7C" w:rsidRPr="00EB519F">
        <w:rPr>
          <w:b/>
          <w:color w:val="000000" w:themeColor="text1"/>
        </w:rPr>
        <w:t>9.1</w:t>
      </w:r>
      <w:r w:rsidR="00722108" w:rsidRPr="00EB519F">
        <w:rPr>
          <w:b/>
          <w:color w:val="000000" w:themeColor="text1"/>
        </w:rPr>
        <w:t>89</w:t>
      </w:r>
      <w:r w:rsidRPr="00EB519F">
        <w:rPr>
          <w:b/>
          <w:color w:val="000000" w:themeColor="text1"/>
        </w:rPr>
        <w:t xml:space="preserve">: </w:t>
      </w:r>
      <w:r w:rsidRPr="00EB519F">
        <w:rPr>
          <w:color w:val="000000" w:themeColor="text1"/>
        </w:rPr>
        <w:t>“</w:t>
      </w:r>
      <w:r w:rsidR="005C11F8" w:rsidRPr="00EB519F">
        <w:rPr>
          <w:color w:val="000000" w:themeColor="text1"/>
        </w:rPr>
        <w:t>Negado provimento ao recurso</w:t>
      </w:r>
      <w:r w:rsidR="003751A4" w:rsidRPr="00EB519F">
        <w:rPr>
          <w:color w:val="000000" w:themeColor="text1"/>
        </w:rPr>
        <w:t>,</w:t>
      </w:r>
      <w:r w:rsidR="004B786B" w:rsidRPr="00EB519F">
        <w:rPr>
          <w:color w:val="000000" w:themeColor="text1"/>
        </w:rPr>
        <w:t xml:space="preserve"> por unanimidade</w:t>
      </w:r>
      <w:r w:rsidR="005C11F8" w:rsidRPr="00EB519F">
        <w:rPr>
          <w:color w:val="000000" w:themeColor="text1"/>
        </w:rPr>
        <w:t>.</w:t>
      </w:r>
      <w:r w:rsidR="00F8161B" w:rsidRPr="00EB519F">
        <w:rPr>
          <w:color w:val="000000" w:themeColor="text1"/>
        </w:rPr>
        <w:t xml:space="preserve"> </w:t>
      </w:r>
      <w:r w:rsidR="003751A4" w:rsidRPr="00EB519F">
        <w:rPr>
          <w:color w:val="000000" w:themeColor="text1"/>
        </w:rPr>
        <w:t>I</w:t>
      </w:r>
      <w:r w:rsidR="00F8161B" w:rsidRPr="00EB519F">
        <w:rPr>
          <w:color w:val="000000" w:themeColor="text1"/>
        </w:rPr>
        <w:t>mpedido o membro representante da SEFAZ/CAGE.</w:t>
      </w:r>
      <w:r w:rsidR="005C11F8" w:rsidRPr="00EB519F">
        <w:rPr>
          <w:color w:val="000000" w:themeColor="text1"/>
        </w:rPr>
        <w:t>”</w:t>
      </w:r>
    </w:p>
    <w:sectPr w:rsidR="007758E1" w:rsidRPr="00EB519F" w:rsidSect="007758E1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8" w:rsidRDefault="002F5568" w:rsidP="007758E1">
      <w:r>
        <w:separator/>
      </w:r>
    </w:p>
  </w:endnote>
  <w:endnote w:type="continuationSeparator" w:id="1">
    <w:p w:rsidR="002F5568" w:rsidRDefault="002F5568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8" w:rsidRDefault="002F5568" w:rsidP="007758E1">
      <w:r>
        <w:separator/>
      </w:r>
    </w:p>
  </w:footnote>
  <w:footnote w:type="continuationSeparator" w:id="1">
    <w:p w:rsidR="002F5568" w:rsidRDefault="002F5568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E61454">
    <w:pPr>
      <w:pStyle w:val="Cabealho"/>
      <w:jc w:val="center"/>
    </w:pPr>
    <w:r>
      <w:rPr>
        <w:noProof/>
      </w:rPr>
      <w:pict>
        <v:group id="Group 5" o:spid="_x0000_s2052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3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4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Default="007B19CD">
    <w:pPr>
      <w:pStyle w:val="Cabealho"/>
    </w:pPr>
  </w:p>
  <w:p w:rsidR="009E5E6E" w:rsidRDefault="009E5E6E">
    <w:pPr>
      <w:pStyle w:val="Cabealho"/>
    </w:pPr>
    <w:r>
      <w:t>S</w:t>
    </w:r>
    <w:r w:rsidR="00722108">
      <w:t>EDUC</w:t>
    </w:r>
  </w:p>
  <w:p w:rsidR="007B19CD" w:rsidRDefault="00A531EB">
    <w:pPr>
      <w:pStyle w:val="Cabealho"/>
    </w:pPr>
    <w:r>
      <w:t xml:space="preserve">decisão Nº </w:t>
    </w:r>
    <w:r w:rsidR="00722108">
      <w:t>026</w:t>
    </w:r>
    <w:r w:rsidR="007B19CD">
      <w:t>/2018</w:t>
    </w:r>
  </w:p>
  <w:p w:rsidR="007B19CD" w:rsidRDefault="000A5570">
    <w:pPr>
      <w:pStyle w:val="Cabealho"/>
      <w:tabs>
        <w:tab w:val="right" w:pos="8460"/>
      </w:tabs>
    </w:pPr>
    <w:r>
      <w:t>2018/</w:t>
    </w:r>
    <w:r w:rsidR="00722108">
      <w:t>SEFAZ/CAGE</w:t>
    </w:r>
  </w:p>
  <w:p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012F"/>
    <w:rsid w:val="00004485"/>
    <w:rsid w:val="0000506F"/>
    <w:rsid w:val="00007D38"/>
    <w:rsid w:val="00023AE6"/>
    <w:rsid w:val="00042441"/>
    <w:rsid w:val="00056CC3"/>
    <w:rsid w:val="00057C92"/>
    <w:rsid w:val="000676EB"/>
    <w:rsid w:val="000A5570"/>
    <w:rsid w:val="000A7952"/>
    <w:rsid w:val="000B2F25"/>
    <w:rsid w:val="000D1448"/>
    <w:rsid w:val="000E3D22"/>
    <w:rsid w:val="00104980"/>
    <w:rsid w:val="00113ACE"/>
    <w:rsid w:val="0011599F"/>
    <w:rsid w:val="00135DCB"/>
    <w:rsid w:val="00146810"/>
    <w:rsid w:val="001F4DCF"/>
    <w:rsid w:val="0020448F"/>
    <w:rsid w:val="0020492B"/>
    <w:rsid w:val="00206708"/>
    <w:rsid w:val="002201C5"/>
    <w:rsid w:val="00250424"/>
    <w:rsid w:val="00250FFE"/>
    <w:rsid w:val="00266EE3"/>
    <w:rsid w:val="002824E8"/>
    <w:rsid w:val="002960C7"/>
    <w:rsid w:val="002974BA"/>
    <w:rsid w:val="002B3D10"/>
    <w:rsid w:val="002C03BF"/>
    <w:rsid w:val="002E2EE9"/>
    <w:rsid w:val="002F3136"/>
    <w:rsid w:val="002F5568"/>
    <w:rsid w:val="0032014A"/>
    <w:rsid w:val="00335BC1"/>
    <w:rsid w:val="003371EA"/>
    <w:rsid w:val="00360AA5"/>
    <w:rsid w:val="00361F6C"/>
    <w:rsid w:val="003751A4"/>
    <w:rsid w:val="003A7515"/>
    <w:rsid w:val="003C39F0"/>
    <w:rsid w:val="003E096E"/>
    <w:rsid w:val="003E1882"/>
    <w:rsid w:val="003E64B1"/>
    <w:rsid w:val="003E6BFA"/>
    <w:rsid w:val="004213EA"/>
    <w:rsid w:val="00440968"/>
    <w:rsid w:val="00452346"/>
    <w:rsid w:val="004A2399"/>
    <w:rsid w:val="004A6BA1"/>
    <w:rsid w:val="004B0BB2"/>
    <w:rsid w:val="004B5864"/>
    <w:rsid w:val="004B786B"/>
    <w:rsid w:val="005056FA"/>
    <w:rsid w:val="005262EA"/>
    <w:rsid w:val="005337EA"/>
    <w:rsid w:val="0053588C"/>
    <w:rsid w:val="00536C22"/>
    <w:rsid w:val="00556F78"/>
    <w:rsid w:val="00563384"/>
    <w:rsid w:val="00573034"/>
    <w:rsid w:val="005761B7"/>
    <w:rsid w:val="0058747A"/>
    <w:rsid w:val="005B19E9"/>
    <w:rsid w:val="005B3A6B"/>
    <w:rsid w:val="005C11F8"/>
    <w:rsid w:val="005D3BE6"/>
    <w:rsid w:val="005E7B2F"/>
    <w:rsid w:val="005F0E34"/>
    <w:rsid w:val="005F0F97"/>
    <w:rsid w:val="00614F27"/>
    <w:rsid w:val="00647D79"/>
    <w:rsid w:val="00653B30"/>
    <w:rsid w:val="00680070"/>
    <w:rsid w:val="0068569A"/>
    <w:rsid w:val="00692B38"/>
    <w:rsid w:val="0069363F"/>
    <w:rsid w:val="006A5040"/>
    <w:rsid w:val="006C21F6"/>
    <w:rsid w:val="006C5433"/>
    <w:rsid w:val="006C5585"/>
    <w:rsid w:val="006D616D"/>
    <w:rsid w:val="00707467"/>
    <w:rsid w:val="00712717"/>
    <w:rsid w:val="00722108"/>
    <w:rsid w:val="007279F2"/>
    <w:rsid w:val="00737489"/>
    <w:rsid w:val="00750635"/>
    <w:rsid w:val="007549B0"/>
    <w:rsid w:val="007571BD"/>
    <w:rsid w:val="007758E1"/>
    <w:rsid w:val="00795586"/>
    <w:rsid w:val="007A42A5"/>
    <w:rsid w:val="007B19CD"/>
    <w:rsid w:val="007C60CF"/>
    <w:rsid w:val="007D1549"/>
    <w:rsid w:val="007E3110"/>
    <w:rsid w:val="008054E4"/>
    <w:rsid w:val="0083274A"/>
    <w:rsid w:val="0086102E"/>
    <w:rsid w:val="00884E4D"/>
    <w:rsid w:val="008B452B"/>
    <w:rsid w:val="00902EFD"/>
    <w:rsid w:val="00930E01"/>
    <w:rsid w:val="00951DE0"/>
    <w:rsid w:val="00953BB9"/>
    <w:rsid w:val="00962302"/>
    <w:rsid w:val="009746AE"/>
    <w:rsid w:val="00981542"/>
    <w:rsid w:val="009A1363"/>
    <w:rsid w:val="009A13C2"/>
    <w:rsid w:val="009C4425"/>
    <w:rsid w:val="009E483E"/>
    <w:rsid w:val="009E53B2"/>
    <w:rsid w:val="009E5E6E"/>
    <w:rsid w:val="00A07611"/>
    <w:rsid w:val="00A32D04"/>
    <w:rsid w:val="00A34FE6"/>
    <w:rsid w:val="00A367E4"/>
    <w:rsid w:val="00A531EB"/>
    <w:rsid w:val="00A87C95"/>
    <w:rsid w:val="00A973BD"/>
    <w:rsid w:val="00AA331C"/>
    <w:rsid w:val="00AB5CB0"/>
    <w:rsid w:val="00AE5FFF"/>
    <w:rsid w:val="00AF4CD4"/>
    <w:rsid w:val="00B00997"/>
    <w:rsid w:val="00B15985"/>
    <w:rsid w:val="00B20EE6"/>
    <w:rsid w:val="00B36B31"/>
    <w:rsid w:val="00B36E1B"/>
    <w:rsid w:val="00B37C99"/>
    <w:rsid w:val="00B40C3F"/>
    <w:rsid w:val="00B664ED"/>
    <w:rsid w:val="00B66BE4"/>
    <w:rsid w:val="00B76EB6"/>
    <w:rsid w:val="00B845C7"/>
    <w:rsid w:val="00BA0920"/>
    <w:rsid w:val="00BC6C76"/>
    <w:rsid w:val="00BD7D2B"/>
    <w:rsid w:val="00BE2E53"/>
    <w:rsid w:val="00C039A5"/>
    <w:rsid w:val="00C23C28"/>
    <w:rsid w:val="00C34F5F"/>
    <w:rsid w:val="00C66A7E"/>
    <w:rsid w:val="00C823E1"/>
    <w:rsid w:val="00C963B7"/>
    <w:rsid w:val="00C96EFC"/>
    <w:rsid w:val="00CE3EC7"/>
    <w:rsid w:val="00CE4A4B"/>
    <w:rsid w:val="00CF7CFC"/>
    <w:rsid w:val="00D279D4"/>
    <w:rsid w:val="00D44320"/>
    <w:rsid w:val="00D67B8B"/>
    <w:rsid w:val="00DA0A9E"/>
    <w:rsid w:val="00DC44F4"/>
    <w:rsid w:val="00DF4B00"/>
    <w:rsid w:val="00DF4E4C"/>
    <w:rsid w:val="00E277C9"/>
    <w:rsid w:val="00E347E0"/>
    <w:rsid w:val="00E50C7C"/>
    <w:rsid w:val="00E61454"/>
    <w:rsid w:val="00E658A0"/>
    <w:rsid w:val="00E71A7A"/>
    <w:rsid w:val="00E75819"/>
    <w:rsid w:val="00EB4BC5"/>
    <w:rsid w:val="00EB519F"/>
    <w:rsid w:val="00EC5A40"/>
    <w:rsid w:val="00EF0F51"/>
    <w:rsid w:val="00EF2098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62E2E"/>
    <w:rsid w:val="00F6364F"/>
    <w:rsid w:val="00F76F2C"/>
    <w:rsid w:val="00F8161B"/>
    <w:rsid w:val="00F93C5C"/>
    <w:rsid w:val="00FB41D2"/>
    <w:rsid w:val="00FC7F87"/>
    <w:rsid w:val="00FD1EB8"/>
    <w:rsid w:val="00FD5658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7997-27F2-4F59-9C09-D1D79A82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2018-08-16T13:11:00Z</dcterms:created>
  <dcterms:modified xsi:type="dcterms:W3CDTF">2018-08-16T13:11:00Z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